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BE7" w:rsidRDefault="00BB7059">
      <w:r w:rsidRPr="00BB7059">
        <w:rPr>
          <w:noProof/>
        </w:rPr>
        <w:drawing>
          <wp:inline distT="0" distB="0" distL="0" distR="0">
            <wp:extent cx="5940425" cy="8175364"/>
            <wp:effectExtent l="19050" t="0" r="3175" b="0"/>
            <wp:docPr id="4" name="Рисунок 1" descr="C:\Users\Admin\AppData\Local\Microsoft\Windows\Temporary Internet Files\Content.Word\Ж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Ж 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059" w:rsidRDefault="00BB7059"/>
    <w:p w:rsidR="00BB7059" w:rsidRPr="0050755F" w:rsidRDefault="00BB7059" w:rsidP="00BB7059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Pr="00617A86">
        <w:rPr>
          <w:rStyle w:val="a5"/>
          <w:rFonts w:ascii="Times New Roman" w:hAnsi="Times New Roman" w:cs="Times New Roman"/>
          <w:sz w:val="24"/>
          <w:szCs w:val="24"/>
        </w:rPr>
        <w:t>тика  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007ED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007ED">
        <w:rPr>
          <w:rFonts w:ascii="Times New Roman" w:hAnsi="Times New Roman" w:cs="Times New Roman"/>
          <w:sz w:val="24"/>
          <w:szCs w:val="24"/>
        </w:rPr>
        <w:t>казенно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007ED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A007E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Могилёв</w:t>
      </w:r>
      <w:r w:rsidRPr="00A007ED">
        <w:rPr>
          <w:rFonts w:ascii="Times New Roman" w:hAnsi="Times New Roman" w:cs="Times New Roman"/>
          <w:sz w:val="24"/>
          <w:szCs w:val="24"/>
        </w:rPr>
        <w:t>ская 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им.Н.У.Азизова</w:t>
      </w:r>
      <w:proofErr w:type="spellEnd"/>
      <w:r w:rsidRPr="00A007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Хасавюрто</w:t>
      </w:r>
      <w:r w:rsidRPr="00A007ED">
        <w:rPr>
          <w:rFonts w:ascii="Times New Roman" w:hAnsi="Times New Roman" w:cs="Times New Roman"/>
          <w:sz w:val="24"/>
          <w:szCs w:val="24"/>
        </w:rPr>
        <w:t xml:space="preserve">вского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РД </w:t>
      </w:r>
      <w:r w:rsidRPr="00617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7A86">
        <w:rPr>
          <w:sz w:val="24"/>
          <w:szCs w:val="24"/>
        </w:rPr>
        <w:t> </w:t>
      </w:r>
      <w:r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</w:t>
      </w:r>
      <w:r w:rsidRPr="0050755F">
        <w:rPr>
          <w:rFonts w:ascii="Times New Roman" w:hAnsi="Times New Roman" w:cs="Times New Roman"/>
          <w:sz w:val="24"/>
          <w:szCs w:val="24"/>
        </w:rPr>
        <w:lastRenderedPageBreak/>
        <w:t xml:space="preserve">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BB7059" w:rsidRPr="00617A86" w:rsidRDefault="00BB7059" w:rsidP="00BB7059">
      <w:pPr>
        <w:pStyle w:val="a7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BB7059" w:rsidRPr="00617A86" w:rsidRDefault="00BB7059" w:rsidP="00BB7059">
      <w:pPr>
        <w:pStyle w:val="a7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BB7059" w:rsidRPr="00617A86" w:rsidRDefault="00BB7059" w:rsidP="00BB70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BB7059" w:rsidRPr="00617A86" w:rsidRDefault="00BB7059" w:rsidP="00BB70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BB7059" w:rsidRPr="00617A86" w:rsidRDefault="00BB7059" w:rsidP="00BB70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BB7059" w:rsidRPr="00617A86" w:rsidRDefault="00BB7059" w:rsidP="00BB70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BB7059" w:rsidRPr="00617A86" w:rsidRDefault="00BB7059" w:rsidP="00BB70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BB7059" w:rsidRPr="00617A86" w:rsidRDefault="00BB7059" w:rsidP="00BB7059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BB7059" w:rsidRPr="00617A86" w:rsidRDefault="00BB7059" w:rsidP="00BB7059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BB7059" w:rsidRPr="00617A86" w:rsidRDefault="00BB7059" w:rsidP="00BB7059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BB7059" w:rsidRPr="00617A86" w:rsidRDefault="00BB7059" w:rsidP="00BB7059">
      <w:pPr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BB7059" w:rsidRPr="0050755F" w:rsidRDefault="00BB7059" w:rsidP="00BB7059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 </w:t>
      </w:r>
      <w:r w:rsidRPr="0050755F">
        <w:rPr>
          <w:rStyle w:val="a8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8"/>
          <w:sz w:val="24"/>
          <w:szCs w:val="24"/>
        </w:rPr>
        <w:t>антикоррупционной</w:t>
      </w:r>
      <w:proofErr w:type="spellEnd"/>
      <w:r w:rsidRPr="0050755F">
        <w:rPr>
          <w:rStyle w:val="a8"/>
          <w:sz w:val="24"/>
          <w:szCs w:val="24"/>
        </w:rPr>
        <w:t>  деятельности организации</w:t>
      </w:r>
    </w:p>
    <w:p w:rsidR="00BB7059" w:rsidRPr="0050755F" w:rsidRDefault="00BB7059" w:rsidP="00BB705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Pr="0050755F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лицее основываться на следующих ключевых принципах: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1.        </w:t>
      </w:r>
      <w:r w:rsidRPr="00617A86">
        <w:rPr>
          <w:rStyle w:val="a8"/>
        </w:rPr>
        <w:t>Принцип соответствия политики организации действующему законодательству и общепринятым нормам.</w:t>
      </w:r>
    </w:p>
    <w:p w:rsidR="00BB7059" w:rsidRPr="00617A86" w:rsidRDefault="00BB7059" w:rsidP="00BB7059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РФ, заключенным РФ международным договорам, законодательству РФ и иным нормативным правовым актам, применимым к организации.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2.        </w:t>
      </w:r>
      <w:r w:rsidRPr="00617A86">
        <w:rPr>
          <w:rStyle w:val="a8"/>
        </w:rPr>
        <w:t>Принцип личного примера руководства.</w:t>
      </w:r>
    </w:p>
    <w:p w:rsidR="00BB7059" w:rsidRPr="00617A86" w:rsidRDefault="00BB7059" w:rsidP="00BB7059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3.        </w:t>
      </w:r>
      <w:r w:rsidRPr="00617A86">
        <w:rPr>
          <w:rStyle w:val="a8"/>
        </w:rPr>
        <w:t>Принцип вовлеченности работников.</w:t>
      </w:r>
    </w:p>
    <w:p w:rsidR="00BB7059" w:rsidRPr="00617A86" w:rsidRDefault="00BB7059" w:rsidP="00BB7059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4.        </w:t>
      </w:r>
      <w:r w:rsidRPr="00617A86">
        <w:rPr>
          <w:rStyle w:val="a8"/>
        </w:rPr>
        <w:t xml:space="preserve">Принцип соразмерности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 риску коррупции.</w:t>
      </w:r>
    </w:p>
    <w:p w:rsidR="00BB7059" w:rsidRPr="00617A86" w:rsidRDefault="00BB7059" w:rsidP="00BB7059">
      <w:pPr>
        <w:pStyle w:val="100"/>
        <w:tabs>
          <w:tab w:val="left" w:pos="0"/>
        </w:tabs>
        <w:jc w:val="both"/>
      </w:pPr>
      <w:r>
        <w:t xml:space="preserve">   </w:t>
      </w:r>
      <w:r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5.        </w:t>
      </w:r>
      <w:r w:rsidRPr="00617A86">
        <w:rPr>
          <w:rStyle w:val="a8"/>
        </w:rPr>
        <w:t xml:space="preserve">Принцип эффективности  </w:t>
      </w:r>
      <w:proofErr w:type="spellStart"/>
      <w:r w:rsidRPr="00617A86">
        <w:rPr>
          <w:rStyle w:val="a8"/>
        </w:rPr>
        <w:t>антикоррупционных</w:t>
      </w:r>
      <w:proofErr w:type="spellEnd"/>
      <w:r w:rsidRPr="00617A86">
        <w:rPr>
          <w:rStyle w:val="a8"/>
        </w:rPr>
        <w:t xml:space="preserve"> процедур.</w:t>
      </w:r>
    </w:p>
    <w:p w:rsidR="00BB7059" w:rsidRPr="00617A86" w:rsidRDefault="00BB7059" w:rsidP="00BB7059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6.        </w:t>
      </w:r>
      <w:r w:rsidRPr="00617A86">
        <w:rPr>
          <w:rStyle w:val="a8"/>
        </w:rPr>
        <w:t>Принцип ответственности и неотвратимости наказания.</w:t>
      </w:r>
    </w:p>
    <w:p w:rsidR="00BB7059" w:rsidRPr="00617A86" w:rsidRDefault="00BB7059" w:rsidP="00BB7059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7.        </w:t>
      </w:r>
      <w:r w:rsidRPr="00617A86">
        <w:rPr>
          <w:rStyle w:val="a8"/>
        </w:rPr>
        <w:t xml:space="preserve">Принцип открытости  </w:t>
      </w:r>
    </w:p>
    <w:p w:rsidR="00BB7059" w:rsidRPr="00617A86" w:rsidRDefault="00BB7059" w:rsidP="00BB7059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BB7059" w:rsidRPr="00617A86" w:rsidRDefault="00BB7059" w:rsidP="00BB7059">
      <w:pPr>
        <w:pStyle w:val="100"/>
        <w:tabs>
          <w:tab w:val="left" w:pos="0"/>
          <w:tab w:val="left" w:pos="1080"/>
        </w:tabs>
        <w:jc w:val="both"/>
      </w:pPr>
      <w:r w:rsidRPr="00617A86">
        <w:rPr>
          <w:rStyle w:val="a8"/>
          <w:rFonts w:eastAsia="Symbol"/>
        </w:rPr>
        <w:t xml:space="preserve">8.        </w:t>
      </w:r>
      <w:r w:rsidRPr="00617A86">
        <w:rPr>
          <w:rStyle w:val="a8"/>
        </w:rPr>
        <w:t>Принцип постоянного контроля и регулярного мониторинга.</w:t>
      </w:r>
    </w:p>
    <w:p w:rsidR="00BB7059" w:rsidRPr="00617A86" w:rsidRDefault="00BB7059" w:rsidP="00BB7059">
      <w:pPr>
        <w:pStyle w:val="100"/>
        <w:tabs>
          <w:tab w:val="left" w:pos="0"/>
        </w:tabs>
        <w:ind w:firstLine="624"/>
        <w:jc w:val="both"/>
      </w:pPr>
      <w:r w:rsidRPr="00617A86">
        <w:lastRenderedPageBreak/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4. Область применения политики и круг лиц, попадающих под ее действие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5"/>
          <w:rFonts w:ascii="Times New Roman" w:hAnsi="Times New Roman" w:cs="Times New Roman"/>
          <w:sz w:val="24"/>
          <w:szCs w:val="24"/>
        </w:rPr>
        <w:t>нужно включить в текст договоров.</w:t>
      </w:r>
    </w:p>
    <w:p w:rsidR="00BB7059" w:rsidRPr="0050755F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5.  Определение должностных лиц школы, ответственных за реализацию </w:t>
      </w:r>
      <w:proofErr w:type="spellStart"/>
      <w:r w:rsidRPr="0050755F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sz w:val="24"/>
          <w:szCs w:val="24"/>
        </w:rPr>
        <w:t>  политики</w:t>
      </w:r>
    </w:p>
    <w:p w:rsidR="00BB7059" w:rsidRPr="00617A86" w:rsidRDefault="00BB7059" w:rsidP="00BB7059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BB7059" w:rsidRPr="0050755F" w:rsidRDefault="00BB7059" w:rsidP="00BB7059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BB7059" w:rsidRPr="00617A86" w:rsidRDefault="00BB7059" w:rsidP="00BB7059">
      <w:pPr>
        <w:pStyle w:val="a7"/>
        <w:ind w:firstLine="624"/>
        <w:jc w:val="both"/>
      </w:pPr>
      <w:r w:rsidRPr="00617A86">
        <w:t>Эти обязанности  включают в частности: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5"/>
        </w:rPr>
        <w:t xml:space="preserve">деклараций </w:t>
      </w:r>
      <w:r w:rsidRPr="00617A86">
        <w:t>о конфликте интересов;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школы;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BB7059" w:rsidRPr="00617A86" w:rsidRDefault="00BB7059" w:rsidP="00BB7059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lastRenderedPageBreak/>
        <w:t> </w:t>
      </w:r>
      <w:r w:rsidRPr="00617A86">
        <w:rPr>
          <w:rStyle w:val="a8"/>
          <w:sz w:val="24"/>
          <w:szCs w:val="24"/>
        </w:rPr>
        <w:t>7. Установление перечня реализуем</w:t>
      </w:r>
      <w:r>
        <w:rPr>
          <w:rStyle w:val="a8"/>
          <w:sz w:val="24"/>
          <w:szCs w:val="24"/>
        </w:rPr>
        <w:t xml:space="preserve">ых образовательным учреждением  </w:t>
      </w:r>
      <w:proofErr w:type="spellStart"/>
      <w:r w:rsidRPr="00617A86">
        <w:rPr>
          <w:rStyle w:val="a8"/>
          <w:sz w:val="24"/>
          <w:szCs w:val="24"/>
        </w:rPr>
        <w:t>антикоррупционных</w:t>
      </w:r>
      <w:proofErr w:type="spellEnd"/>
      <w:r w:rsidRPr="00617A86">
        <w:rPr>
          <w:rStyle w:val="a8"/>
          <w:sz w:val="24"/>
          <w:szCs w:val="24"/>
        </w:rPr>
        <w:t xml:space="preserve"> </w:t>
      </w:r>
      <w:r>
        <w:rPr>
          <w:rStyle w:val="a8"/>
          <w:sz w:val="24"/>
          <w:szCs w:val="24"/>
        </w:rPr>
        <w:t xml:space="preserve"> </w:t>
      </w:r>
      <w:r w:rsidRPr="00617A86">
        <w:rPr>
          <w:rStyle w:val="a8"/>
          <w:sz w:val="24"/>
          <w:szCs w:val="24"/>
        </w:rPr>
        <w:t>мероприятий, стандартов и процедур и  порядок их выполнения (применения)</w:t>
      </w:r>
    </w:p>
    <w:p w:rsidR="00BB7059" w:rsidRPr="00617A86" w:rsidRDefault="00BB7059" w:rsidP="00BB7059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8"/>
          <w:sz w:val="24"/>
          <w:szCs w:val="24"/>
        </w:rPr>
        <w:t> 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BB7059" w:rsidRPr="000023C3" w:rsidRDefault="00BB7059" w:rsidP="00BB7059">
      <w:pPr>
        <w:pStyle w:val="2"/>
        <w:tabs>
          <w:tab w:val="num" w:pos="0"/>
        </w:tabs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BB7059" w:rsidRPr="00617A86" w:rsidRDefault="00BB7059" w:rsidP="00BB7059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5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BB7059" w:rsidRPr="00617A86" w:rsidRDefault="00BB7059" w:rsidP="00BB7059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BB7059" w:rsidRPr="00617A86" w:rsidRDefault="00BB7059" w:rsidP="00BB7059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BB7059" w:rsidRPr="00617A86" w:rsidRDefault="00BB7059" w:rsidP="00BB7059">
      <w:pPr>
        <w:tabs>
          <w:tab w:val="left" w:pos="216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BB7059" w:rsidRPr="0050755F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BB7059" w:rsidRPr="00617A86" w:rsidRDefault="00BB7059" w:rsidP="00BB7059">
      <w:pPr>
        <w:widowControl w:val="0"/>
        <w:tabs>
          <w:tab w:val="left" w:pos="851"/>
          <w:tab w:val="left" w:pos="1080"/>
          <w:tab w:val="num" w:pos="1440"/>
        </w:tabs>
        <w:autoSpaceDE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BB7059" w:rsidRPr="00617A86" w:rsidRDefault="00BB7059" w:rsidP="00BB7059">
      <w:pPr>
        <w:widowControl w:val="0"/>
        <w:tabs>
          <w:tab w:val="left" w:pos="72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BB7059" w:rsidRPr="0050755F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sz w:val="24"/>
          <w:szCs w:val="24"/>
        </w:rPr>
        <w:lastRenderedPageBreak/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BB7059" w:rsidRDefault="00BB7059" w:rsidP="00BB7059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В школе проводится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BB7059" w:rsidRPr="0050755F" w:rsidRDefault="00BB7059" w:rsidP="00BB7059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BB7059" w:rsidRPr="00617A86" w:rsidRDefault="00BB7059" w:rsidP="00BB7059">
      <w:pPr>
        <w:pStyle w:val="a7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BB7059" w:rsidRPr="00617A86" w:rsidRDefault="00BB7059" w:rsidP="00BB7059">
      <w:pPr>
        <w:pStyle w:val="a7"/>
        <w:ind w:firstLine="624"/>
        <w:jc w:val="both"/>
      </w:pPr>
      <w:r w:rsidRPr="00617A86">
        <w:t>Возможны следующие виды обучения: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BB7059" w:rsidRPr="00617A86" w:rsidRDefault="00BB7059" w:rsidP="00BB7059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BB7059" w:rsidRPr="00617A86" w:rsidRDefault="00BB7059" w:rsidP="00BB7059">
      <w:pPr>
        <w:pStyle w:val="a7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BB7059" w:rsidRPr="0050755F" w:rsidRDefault="00BB7059" w:rsidP="00BB7059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lastRenderedPageBreak/>
        <w:t> Федеральным законом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«О бухгалтерском учете» установлена обязанность для всех организаций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-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BB7059" w:rsidRPr="00617A86" w:rsidRDefault="00BB7059" w:rsidP="00BB7059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BB7059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BB7059" w:rsidRPr="00617A86" w:rsidRDefault="00BB7059" w:rsidP="00BB7059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 9.Порядок пересмотра и внесения изменений в </w:t>
      </w:r>
      <w:proofErr w:type="spellStart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8"/>
          <w:rFonts w:ascii="Times New Roman" w:hAnsi="Times New Roman" w:cs="Times New Roman"/>
          <w:b/>
          <w:bCs/>
          <w:sz w:val="24"/>
          <w:szCs w:val="24"/>
        </w:rPr>
        <w:t xml:space="preserve"> политику организации</w:t>
      </w:r>
    </w:p>
    <w:p w:rsidR="00BB7059" w:rsidRPr="00617A86" w:rsidRDefault="00BB7059" w:rsidP="00BB7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</w:p>
    <w:p w:rsidR="00BB7059" w:rsidRDefault="00BB7059"/>
    <w:sectPr w:rsidR="00BB7059" w:rsidSect="003E3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059"/>
    <w:rsid w:val="003E3BE7"/>
    <w:rsid w:val="00BB7059"/>
    <w:rsid w:val="00D2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E7"/>
  </w:style>
  <w:style w:type="paragraph" w:styleId="1">
    <w:name w:val="heading 1"/>
    <w:basedOn w:val="a"/>
    <w:link w:val="10"/>
    <w:uiPriority w:val="9"/>
    <w:qFormat/>
    <w:rsid w:val="00BB7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0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B70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BB70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5">
    <w:name w:val="Strong"/>
    <w:basedOn w:val="a0"/>
    <w:uiPriority w:val="22"/>
    <w:qFormat/>
    <w:rsid w:val="00BB7059"/>
    <w:rPr>
      <w:b/>
      <w:bCs/>
    </w:rPr>
  </w:style>
  <w:style w:type="table" w:styleId="a6">
    <w:name w:val="Table Grid"/>
    <w:basedOn w:val="a1"/>
    <w:uiPriority w:val="59"/>
    <w:rsid w:val="00BB70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B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BB7059"/>
    <w:rPr>
      <w:i/>
      <w:iCs/>
    </w:rPr>
  </w:style>
  <w:style w:type="paragraph" w:customStyle="1" w:styleId="100">
    <w:name w:val="10"/>
    <w:basedOn w:val="a"/>
    <w:rsid w:val="00BB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otnote reference"/>
    <w:basedOn w:val="a0"/>
    <w:uiPriority w:val="99"/>
    <w:semiHidden/>
    <w:unhideWhenUsed/>
    <w:rsid w:val="00BB70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3660</Words>
  <Characters>20866</Characters>
  <Application>Microsoft Office Word</Application>
  <DocSecurity>0</DocSecurity>
  <Lines>173</Lines>
  <Paragraphs>48</Paragraphs>
  <ScaleCrop>false</ScaleCrop>
  <Company>StartSoft</Company>
  <LinksUpToDate>false</LinksUpToDate>
  <CharactersWithSpaces>24478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Майсарат Хизриевна</dc:creator>
  <cp:keywords/>
  <dc:description/>
  <cp:lastModifiedBy>Майсарат Хизриевна</cp:lastModifiedBy>
  <cp:revision>3</cp:revision>
  <dcterms:created xsi:type="dcterms:W3CDTF">2018-11-07T07:19:00Z</dcterms:created>
  <dcterms:modified xsi:type="dcterms:W3CDTF">2018-11-07T07:51:00Z</dcterms:modified>
</cp:coreProperties>
</file>